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w:t>
      </w:r>
    </w:p>
    <w:p>
      <w:pPr>
        <w:spacing w:line="600" w:lineRule="exact"/>
        <w:jc w:val="center"/>
        <w:rPr>
          <w:rFonts w:hint="eastAsia" w:ascii="宋体" w:hAnsi="宋体" w:cs="宋体"/>
          <w:b/>
          <w:bCs/>
          <w:sz w:val="44"/>
          <w:szCs w:val="44"/>
        </w:rPr>
      </w:pPr>
      <w:bookmarkStart w:id="0" w:name="_GoBack"/>
      <w:r>
        <w:rPr>
          <w:rFonts w:hint="eastAsia" w:ascii="宋体" w:hAnsi="宋体" w:cs="宋体"/>
          <w:b/>
          <w:bCs/>
          <w:sz w:val="44"/>
          <w:szCs w:val="44"/>
        </w:rPr>
        <w:t>采购课题简要说明</w:t>
      </w:r>
    </w:p>
    <w:bookmarkEnd w:id="0"/>
    <w:p>
      <w:pPr>
        <w:spacing w:line="600" w:lineRule="exact"/>
        <w:jc w:val="center"/>
        <w:rPr>
          <w:rFonts w:hint="eastAsia" w:ascii="仿宋_GB2312" w:hAnsi="仿宋_GB2312" w:eastAsia="仿宋_GB2312" w:cs="仿宋_GB2312"/>
          <w:sz w:val="32"/>
          <w:szCs w:val="32"/>
        </w:rPr>
      </w:pPr>
    </w:p>
    <w:p>
      <w:pPr>
        <w:snapToGrid w:val="0"/>
        <w:spacing w:line="640" w:lineRule="exact"/>
        <w:ind w:firstLine="640" w:firstLineChars="200"/>
        <w:rPr>
          <w:rFonts w:hint="eastAsia" w:ascii="黑体" w:hAnsi="黑体" w:eastAsia="黑体"/>
          <w:sz w:val="32"/>
          <w:szCs w:val="32"/>
        </w:rPr>
      </w:pPr>
      <w:r>
        <w:rPr>
          <w:rFonts w:hint="eastAsia" w:ascii="黑体" w:hAnsi="黑体" w:eastAsia="黑体"/>
          <w:sz w:val="32"/>
          <w:szCs w:val="32"/>
        </w:rPr>
        <w:t>1</w:t>
      </w:r>
      <w:r>
        <w:rPr>
          <w:rFonts w:hint="eastAsia" w:ascii="仿宋_GB2312" w:hAnsi="仿宋_GB2312" w:eastAsia="仿宋_GB2312" w:cs="仿宋_GB2312"/>
          <w:sz w:val="32"/>
          <w:szCs w:val="32"/>
        </w:rPr>
        <w:t>.</w:t>
      </w:r>
      <w:r>
        <w:rPr>
          <w:rFonts w:hint="eastAsia" w:ascii="黑体" w:hAnsi="黑体" w:eastAsia="黑体"/>
          <w:sz w:val="32"/>
          <w:szCs w:val="32"/>
        </w:rPr>
        <w:t>百年变局下的湖北机遇与中长期发展战略研究</w:t>
      </w:r>
    </w:p>
    <w:p>
      <w:pPr>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二十大报告指出，“世界之变、时代之变、历史之变正以前所未有的方式展开”。系统研究大变局之下湖北面临怎样的战略机遇，怎样把握战略机遇乘势发展，围绕湖北中长期发展应当以什么样的战略策略应对等重大问题进行深入研究，提出政策建议。</w:t>
      </w:r>
    </w:p>
    <w:p>
      <w:pPr>
        <w:snapToGrid w:val="0"/>
        <w:spacing w:line="640" w:lineRule="exact"/>
        <w:ind w:firstLine="640" w:firstLineChars="200"/>
        <w:rPr>
          <w:rFonts w:hint="eastAsia" w:ascii="黑体" w:hAnsi="黑体" w:eastAsia="黑体"/>
          <w:sz w:val="32"/>
          <w:szCs w:val="32"/>
        </w:rPr>
      </w:pPr>
      <w:r>
        <w:rPr>
          <w:rFonts w:hint="eastAsia" w:ascii="黑体" w:hAnsi="黑体" w:eastAsia="黑体"/>
          <w:sz w:val="32"/>
          <w:szCs w:val="32"/>
        </w:rPr>
        <w:t>2</w:t>
      </w:r>
      <w:r>
        <w:rPr>
          <w:rFonts w:hint="eastAsia" w:ascii="仿宋_GB2312" w:hAnsi="仿宋_GB2312" w:eastAsia="仿宋_GB2312" w:cs="仿宋_GB2312"/>
          <w:sz w:val="32"/>
          <w:szCs w:val="32"/>
        </w:rPr>
        <w:t>.</w:t>
      </w:r>
      <w:r>
        <w:rPr>
          <w:rFonts w:hint="eastAsia" w:ascii="黑体" w:hAnsi="黑体" w:eastAsia="黑体"/>
          <w:sz w:val="32"/>
          <w:szCs w:val="32"/>
        </w:rPr>
        <w:t>大力发展先进制造业集群，着力打造全国制造强国高地</w:t>
      </w:r>
    </w:p>
    <w:p>
      <w:pPr>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立足制造业大省的湖北省情，梳理湖北制造业发展的短板及原因，对如何发挥制造优势、建设世界级先进制造业集群、打造制造强国高地进行深入研究，提出总体思路和对策建议。</w:t>
      </w:r>
    </w:p>
    <w:p>
      <w:pPr>
        <w:snapToGrid w:val="0"/>
        <w:spacing w:line="640" w:lineRule="exact"/>
        <w:ind w:firstLine="640" w:firstLineChars="200"/>
        <w:rPr>
          <w:rFonts w:hint="eastAsia" w:ascii="黑体" w:hAnsi="黑体" w:eastAsia="黑体"/>
          <w:sz w:val="32"/>
          <w:szCs w:val="32"/>
        </w:rPr>
      </w:pPr>
      <w:r>
        <w:rPr>
          <w:rFonts w:ascii="黑体" w:hAnsi="黑体" w:eastAsia="黑体"/>
          <w:sz w:val="32"/>
          <w:szCs w:val="32"/>
          <w:lang w:val="en"/>
        </w:rPr>
        <w:t>3</w:t>
      </w:r>
      <w:r>
        <w:rPr>
          <w:rFonts w:hint="eastAsia" w:ascii="仿宋_GB2312" w:hAnsi="仿宋_GB2312" w:eastAsia="仿宋_GB2312" w:cs="仿宋_GB2312"/>
          <w:sz w:val="32"/>
          <w:szCs w:val="32"/>
        </w:rPr>
        <w:t>.</w:t>
      </w:r>
      <w:r>
        <w:rPr>
          <w:rFonts w:hint="eastAsia" w:ascii="黑体" w:hAnsi="黑体" w:eastAsia="黑体"/>
          <w:sz w:val="32"/>
          <w:szCs w:val="32"/>
        </w:rPr>
        <w:t>以制度创新引领湖北高水平自立自强，加速打通从科技强到产业强、经济强的通道</w:t>
      </w:r>
    </w:p>
    <w:p>
      <w:pPr>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学习借鉴沿海发达省份经验，跟踪研究武汉产业创新发展研究院等实践创新，提出以制度创新引领全面创新，提高科技成果转化效能，推动高水平科技自立自强，加快建设全国科技创新高地的对策建议。</w:t>
      </w:r>
    </w:p>
    <w:p>
      <w:pPr>
        <w:snapToGrid w:val="0"/>
        <w:spacing w:line="640" w:lineRule="exact"/>
        <w:ind w:firstLine="640" w:firstLineChars="200"/>
        <w:rPr>
          <w:rFonts w:hint="eastAsia" w:ascii="黑体" w:hAnsi="黑体" w:eastAsia="黑体"/>
          <w:sz w:val="32"/>
          <w:szCs w:val="32"/>
        </w:rPr>
      </w:pPr>
      <w:r>
        <w:rPr>
          <w:rFonts w:ascii="黑体" w:hAnsi="黑体" w:eastAsia="黑体"/>
          <w:sz w:val="32"/>
          <w:szCs w:val="32"/>
          <w:lang w:val="en"/>
        </w:rPr>
        <w:t>4</w:t>
      </w:r>
      <w:r>
        <w:rPr>
          <w:rFonts w:hint="eastAsia" w:ascii="仿宋_GB2312" w:hAnsi="仿宋_GB2312" w:eastAsia="仿宋_GB2312" w:cs="仿宋_GB2312"/>
          <w:sz w:val="32"/>
          <w:szCs w:val="32"/>
        </w:rPr>
        <w:t>.</w:t>
      </w:r>
      <w:r>
        <w:rPr>
          <w:rFonts w:hint="eastAsia" w:ascii="黑体" w:hAnsi="黑体" w:eastAsia="黑体"/>
          <w:sz w:val="32"/>
          <w:szCs w:val="32"/>
        </w:rPr>
        <w:t>促进数字经济与实体经济深度融合，着力打造全国数字经济发展高地</w:t>
      </w:r>
    </w:p>
    <w:p>
      <w:pPr>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打造全国数字经济发展高地的战略目标，在系统梳理当前湖北数字经济与实体经济融合发展现状的基础上，深入研判湖北数字经济发展的重点领域和关键突破口，围绕数字产业化、产业数字化的发展战略、重点领域、实践路径、体制创新等进行研究，提出相关思路和举措，助力湖北数字经济突破性发展，走在全国前列。</w:t>
      </w:r>
    </w:p>
    <w:p>
      <w:pPr>
        <w:snapToGrid w:val="0"/>
        <w:spacing w:line="640" w:lineRule="exact"/>
        <w:ind w:firstLine="640" w:firstLineChars="200"/>
        <w:rPr>
          <w:rFonts w:hint="eastAsia" w:ascii="黑体" w:hAnsi="黑体" w:eastAsia="黑体"/>
          <w:sz w:val="32"/>
          <w:szCs w:val="32"/>
        </w:rPr>
      </w:pPr>
      <w:r>
        <w:rPr>
          <w:rFonts w:ascii="黑体" w:hAnsi="黑体" w:eastAsia="黑体"/>
          <w:sz w:val="32"/>
          <w:szCs w:val="32"/>
          <w:lang w:val="en"/>
        </w:rPr>
        <w:t>5</w:t>
      </w:r>
      <w:r>
        <w:rPr>
          <w:rFonts w:hint="eastAsia" w:ascii="仿宋_GB2312" w:hAnsi="仿宋_GB2312" w:eastAsia="仿宋_GB2312" w:cs="仿宋_GB2312"/>
          <w:sz w:val="32"/>
          <w:szCs w:val="32"/>
        </w:rPr>
        <w:t>.</w:t>
      </w:r>
      <w:r>
        <w:rPr>
          <w:rFonts w:hint="eastAsia" w:ascii="黑体" w:hAnsi="黑体" w:eastAsia="黑体"/>
          <w:sz w:val="32"/>
          <w:szCs w:val="32"/>
        </w:rPr>
        <w:t>加快建设花湖机场国际物流核心枢纽，推动湖北开放崛起</w:t>
      </w:r>
    </w:p>
    <w:p>
      <w:pPr>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借鉴美国孟菲斯机场、德国莱比锡机场等国际专业货运机场发展经验，研究在构建国内国际双循环发展格局之下，如何加快将花湖机场打造成为国际一流航空货运枢纽，加快培育适航制造业、服务业，引领带动湖北开放崛起提出具有战略引领性和可操作性的对策建议。</w:t>
      </w:r>
    </w:p>
    <w:p>
      <w:pPr>
        <w:snapToGrid w:val="0"/>
        <w:spacing w:line="640" w:lineRule="exact"/>
        <w:ind w:firstLine="640" w:firstLineChars="200"/>
        <w:rPr>
          <w:rFonts w:hint="eastAsia" w:ascii="黑体" w:hAnsi="黑体" w:eastAsia="黑体"/>
          <w:sz w:val="32"/>
          <w:szCs w:val="32"/>
        </w:rPr>
      </w:pPr>
      <w:r>
        <w:rPr>
          <w:rFonts w:ascii="黑体" w:hAnsi="黑体" w:eastAsia="黑体"/>
          <w:sz w:val="32"/>
          <w:szCs w:val="32"/>
          <w:lang w:val="en"/>
        </w:rPr>
        <w:t>6</w:t>
      </w:r>
      <w:r>
        <w:rPr>
          <w:rFonts w:hint="eastAsia" w:ascii="仿宋_GB2312" w:hAnsi="仿宋_GB2312" w:eastAsia="仿宋_GB2312" w:cs="仿宋_GB2312"/>
          <w:sz w:val="32"/>
          <w:szCs w:val="32"/>
        </w:rPr>
        <w:t>.</w:t>
      </w:r>
      <w:r>
        <w:rPr>
          <w:rFonts w:hint="eastAsia" w:ascii="黑体" w:hAnsi="黑体" w:eastAsia="黑体"/>
          <w:sz w:val="32"/>
          <w:szCs w:val="32"/>
        </w:rPr>
        <w:t>推进教育科技人才“三位一体”融合发展，不断塑造湖北创新发展新优势</w:t>
      </w:r>
    </w:p>
    <w:p>
      <w:pPr>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湖北教育大省、科技大省、人才大省的省情，梳理湖北促进科技、教育、人才相互贯通协同的主要做法、存在的问题及原因，对湖北教育、科技、人才三位一体融合发展的实践路径、体制机制进行研究，提出推动三者形成互促共进的良性循环，催生聚合裂变、叠加放大效应的对策建议。</w:t>
      </w:r>
    </w:p>
    <w:p>
      <w:pPr>
        <w:snapToGrid w:val="0"/>
        <w:spacing w:line="640" w:lineRule="exact"/>
        <w:ind w:firstLine="640" w:firstLineChars="200"/>
        <w:rPr>
          <w:rFonts w:hint="eastAsia" w:ascii="黑体" w:hAnsi="黑体" w:eastAsia="黑体"/>
          <w:sz w:val="32"/>
          <w:szCs w:val="32"/>
        </w:rPr>
      </w:pPr>
      <w:r>
        <w:rPr>
          <w:rFonts w:ascii="黑体" w:hAnsi="黑体" w:eastAsia="黑体"/>
          <w:sz w:val="32"/>
          <w:szCs w:val="32"/>
          <w:lang w:val="en"/>
        </w:rPr>
        <w:t>7</w:t>
      </w:r>
      <w:r>
        <w:rPr>
          <w:rFonts w:hint="eastAsia" w:ascii="仿宋_GB2312" w:hAnsi="仿宋_GB2312" w:eastAsia="仿宋_GB2312" w:cs="仿宋_GB2312"/>
          <w:sz w:val="32"/>
          <w:szCs w:val="32"/>
        </w:rPr>
        <w:t>.</w:t>
      </w:r>
      <w:r>
        <w:rPr>
          <w:rFonts w:hint="eastAsia" w:ascii="黑体" w:hAnsi="黑体" w:eastAsia="黑体"/>
          <w:sz w:val="32"/>
          <w:szCs w:val="32"/>
        </w:rPr>
        <w:t>完善新时代湖北人口发展战略，以人口高质量发展助力建设现代化强省</w:t>
      </w:r>
    </w:p>
    <w:p>
      <w:pPr>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对湖北人口变化趋势作深入研究基础上，围绕以人口高质量发展支撑湖北现代化强省建设，对湖北人口发展战略进行研究，提出全面提高人口整体素质，保持适度生育水平和人口规模，加快塑造素质优良、总量充裕、结构优化、分布合理的现代化人力资源的对策建议。</w:t>
      </w:r>
    </w:p>
    <w:p>
      <w:pPr>
        <w:snapToGrid w:val="0"/>
        <w:spacing w:line="640" w:lineRule="exact"/>
        <w:ind w:firstLine="640" w:firstLineChars="200"/>
        <w:rPr>
          <w:rFonts w:hint="eastAsia" w:ascii="黑体" w:hAnsi="黑体" w:eastAsia="黑体"/>
          <w:sz w:val="32"/>
          <w:szCs w:val="32"/>
        </w:rPr>
      </w:pPr>
      <w:r>
        <w:rPr>
          <w:rFonts w:hint="eastAsia" w:ascii="黑体" w:hAnsi="黑体" w:eastAsia="黑体"/>
          <w:sz w:val="32"/>
          <w:szCs w:val="32"/>
        </w:rPr>
        <w:t>8</w:t>
      </w:r>
      <w:r>
        <w:rPr>
          <w:rFonts w:hint="eastAsia" w:ascii="仿宋_GB2312" w:hAnsi="仿宋_GB2312" w:eastAsia="仿宋_GB2312" w:cs="仿宋_GB2312"/>
          <w:sz w:val="32"/>
          <w:szCs w:val="32"/>
        </w:rPr>
        <w:t>.</w:t>
      </w:r>
      <w:r>
        <w:rPr>
          <w:rFonts w:hint="eastAsia" w:ascii="黑体" w:hAnsi="黑体" w:eastAsia="黑体"/>
          <w:sz w:val="32"/>
          <w:szCs w:val="32"/>
        </w:rPr>
        <w:t>坚持统筹发展和安全，推动湖北高质量发展和高水平安全良性互动</w:t>
      </w:r>
    </w:p>
    <w:p>
      <w:pPr>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深入研究湖北如何发挥“四个大省”优势，在服务新安全格局中担当湖北责任，提升安全水平，提出以高质量发展助力高水平安全，以高水平安全促进高质量发展的总体思路、重点内容、关键抓手和政策建议。</w:t>
      </w:r>
    </w:p>
    <w:p>
      <w:pPr>
        <w:snapToGrid w:val="0"/>
        <w:spacing w:line="640" w:lineRule="exact"/>
        <w:ind w:firstLine="640" w:firstLineChars="200"/>
        <w:rPr>
          <w:rFonts w:hint="eastAsia" w:ascii="黑体" w:hAnsi="黑体" w:eastAsia="黑体"/>
          <w:sz w:val="32"/>
          <w:szCs w:val="32"/>
        </w:rPr>
      </w:pPr>
      <w:r>
        <w:rPr>
          <w:rFonts w:hint="eastAsia" w:ascii="黑体" w:hAnsi="黑体" w:eastAsia="黑体"/>
          <w:sz w:val="32"/>
          <w:szCs w:val="32"/>
        </w:rPr>
        <w:t>9</w:t>
      </w:r>
      <w:r>
        <w:rPr>
          <w:rFonts w:hint="eastAsia" w:ascii="仿宋_GB2312" w:hAnsi="仿宋_GB2312" w:eastAsia="仿宋_GB2312" w:cs="仿宋_GB2312"/>
          <w:sz w:val="32"/>
          <w:szCs w:val="32"/>
        </w:rPr>
        <w:t>.</w:t>
      </w:r>
      <w:r>
        <w:rPr>
          <w:rFonts w:hint="eastAsia" w:ascii="黑体" w:hAnsi="黑体" w:eastAsia="黑体"/>
          <w:sz w:val="32"/>
          <w:szCs w:val="32"/>
        </w:rPr>
        <w:t>深入实施乡村振兴战略，着力建设全国现代农业基地</w:t>
      </w:r>
    </w:p>
    <w:p>
      <w:pPr>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建设全国现代农业基地的战略目标，聚焦粮食稳、产业强、乡村美、农民富，剖析我省乡村振兴发展的短板，找出制约建设全国现代农业基地的突出瓶颈，深入研究以农业农村改革激发乡村活力、促进乡村发展、带动共同富裕的制度设计、实践路径、政策支持等方面的对策建议，全面推动我省“三农”工作高质量发展，加快实现农业农村现代化。</w:t>
      </w:r>
    </w:p>
    <w:p>
      <w:pPr>
        <w:snapToGrid w:val="0"/>
        <w:spacing w:line="640" w:lineRule="exact"/>
        <w:ind w:firstLine="640" w:firstLineChars="200"/>
        <w:rPr>
          <w:rFonts w:hint="eastAsia" w:ascii="黑体" w:hAnsi="黑体" w:eastAsia="黑体"/>
          <w:sz w:val="32"/>
          <w:szCs w:val="32"/>
        </w:rPr>
      </w:pPr>
      <w:r>
        <w:rPr>
          <w:rFonts w:hint="eastAsia" w:ascii="黑体" w:hAnsi="黑体" w:eastAsia="黑体"/>
          <w:sz w:val="32"/>
          <w:szCs w:val="32"/>
        </w:rPr>
        <w:t>10</w:t>
      </w:r>
      <w:r>
        <w:rPr>
          <w:rFonts w:hint="eastAsia" w:ascii="仿宋_GB2312" w:hAnsi="仿宋_GB2312" w:eastAsia="仿宋_GB2312" w:cs="仿宋_GB2312"/>
          <w:sz w:val="32"/>
          <w:szCs w:val="32"/>
        </w:rPr>
        <w:t>.</w:t>
      </w:r>
      <w:r>
        <w:rPr>
          <w:rFonts w:hint="eastAsia" w:ascii="黑体" w:hAnsi="黑体" w:eastAsia="黑体"/>
          <w:sz w:val="32"/>
          <w:szCs w:val="32"/>
        </w:rPr>
        <w:t>推进文化与旅游深度融合发展，着力把湖北打造成为世界级旅游目的地</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立足文旅资源丰富的湖北省情，围绕整合湖北文旅资源、推动文旅融合、提升荆楚文旅知名度和影响力进行研究，对</w:t>
      </w:r>
      <w:r>
        <w:rPr>
          <w:rFonts w:ascii="仿宋_GB2312" w:eastAsia="仿宋_GB2312" w:cs="仿宋_GB2312"/>
          <w:sz w:val="30"/>
          <w:szCs w:val="30"/>
        </w:rPr>
        <w:t>推</w:t>
      </w:r>
      <w:r>
        <w:rPr>
          <w:rFonts w:hint="eastAsia" w:ascii="仿宋_GB2312" w:eastAsia="仿宋_GB2312" w:cs="仿宋_GB2312"/>
          <w:sz w:val="30"/>
          <w:szCs w:val="30"/>
        </w:rPr>
        <w:t>动我省</w:t>
      </w:r>
      <w:r>
        <w:rPr>
          <w:rFonts w:ascii="仿宋_GB2312" w:eastAsia="仿宋_GB2312" w:cs="仿宋_GB2312"/>
          <w:sz w:val="30"/>
          <w:szCs w:val="30"/>
        </w:rPr>
        <w:t>文旅产业融合发展的总体思路、重点领域、实施路径</w:t>
      </w:r>
      <w:r>
        <w:rPr>
          <w:rFonts w:hint="eastAsia" w:ascii="仿宋_GB2312" w:eastAsia="仿宋_GB2312" w:cs="仿宋_GB2312"/>
          <w:sz w:val="30"/>
          <w:szCs w:val="30"/>
        </w:rPr>
        <w:t>，</w:t>
      </w:r>
      <w:r>
        <w:rPr>
          <w:rFonts w:hint="eastAsia" w:ascii="仿宋_GB2312" w:hAnsi="仿宋_GB2312" w:eastAsia="仿宋_GB2312" w:cs="仿宋_GB2312"/>
          <w:sz w:val="32"/>
          <w:szCs w:val="32"/>
        </w:rPr>
        <w:t>助力湖北加快建设文旅强省，</w:t>
      </w:r>
      <w:r>
        <w:rPr>
          <w:rFonts w:ascii="仿宋_GB2312" w:eastAsia="仿宋_GB2312" w:cs="仿宋_GB2312"/>
          <w:sz w:val="30"/>
          <w:szCs w:val="30"/>
        </w:rPr>
        <w:t>提出</w:t>
      </w:r>
      <w:r>
        <w:rPr>
          <w:rFonts w:hint="eastAsia" w:ascii="仿宋_GB2312" w:eastAsia="仿宋_GB2312" w:cs="仿宋_GB2312"/>
          <w:sz w:val="30"/>
          <w:szCs w:val="30"/>
        </w:rPr>
        <w:t>有</w:t>
      </w:r>
      <w:r>
        <w:rPr>
          <w:rFonts w:ascii="仿宋_GB2312" w:eastAsia="仿宋_GB2312" w:cs="仿宋_GB2312"/>
          <w:sz w:val="30"/>
          <w:szCs w:val="30"/>
        </w:rPr>
        <w:t>针对性</w:t>
      </w:r>
      <w:r>
        <w:rPr>
          <w:rFonts w:hint="eastAsia" w:ascii="仿宋_GB2312" w:eastAsia="仿宋_GB2312" w:cs="仿宋_GB2312"/>
          <w:sz w:val="30"/>
          <w:szCs w:val="30"/>
        </w:rPr>
        <w:t>和操作性</w:t>
      </w:r>
      <w:r>
        <w:rPr>
          <w:rFonts w:ascii="仿宋_GB2312" w:eastAsia="仿宋_GB2312" w:cs="仿宋_GB2312"/>
          <w:sz w:val="30"/>
          <w:szCs w:val="30"/>
        </w:rPr>
        <w:t>政策建议</w:t>
      </w:r>
      <w:r>
        <w:rPr>
          <w:rFonts w:hint="eastAsia" w:ascii="仿宋_GB2312" w:hAnsi="仿宋_GB2312" w:eastAsia="仿宋_GB2312" w:cs="仿宋_GB2312"/>
          <w:sz w:val="32"/>
          <w:szCs w:val="32"/>
        </w:rPr>
        <w:t>。</w:t>
      </w:r>
    </w:p>
    <w:p>
      <w:pPr>
        <w:spacing w:line="600" w:lineRule="exact"/>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sz w:val="32"/>
          <w:szCs w:val="32"/>
        </w:rPr>
        <w:t>11</w:t>
      </w:r>
      <w:r>
        <w:rPr>
          <w:rFonts w:hint="eastAsia" w:ascii="仿宋_GB2312" w:hAnsi="仿宋_GB2312" w:eastAsia="仿宋_GB2312" w:cs="仿宋_GB2312"/>
          <w:sz w:val="32"/>
          <w:szCs w:val="32"/>
        </w:rPr>
        <w:t>.</w:t>
      </w:r>
      <w:r>
        <w:rPr>
          <w:rFonts w:hint="eastAsia" w:ascii="黑体" w:hAnsi="黑体" w:eastAsia="黑体"/>
          <w:sz w:val="32"/>
          <w:szCs w:val="32"/>
        </w:rPr>
        <w:t>湖北数字化改革研究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借鉴浙江等数字</w:t>
      </w:r>
      <w:r>
        <w:rPr>
          <w:rFonts w:ascii="仿宋_GB2312" w:hAnsi="仿宋_GB2312" w:eastAsia="仿宋_GB2312" w:cs="仿宋_GB2312"/>
          <w:sz w:val="32"/>
          <w:szCs w:val="32"/>
        </w:rPr>
        <w:t>经济发达地区</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经验</w:t>
      </w:r>
      <w:r>
        <w:rPr>
          <w:rFonts w:hint="eastAsia" w:ascii="仿宋_GB2312" w:hAnsi="仿宋_GB2312" w:eastAsia="仿宋_GB2312" w:cs="仿宋_GB2312"/>
          <w:sz w:val="32"/>
          <w:szCs w:val="32"/>
        </w:rPr>
        <w:t>做法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围绕数字湖北建设目标，强化改革导向和数字赋能，</w:t>
      </w:r>
      <w:r>
        <w:rPr>
          <w:rFonts w:ascii="仿宋_GB2312" w:hAnsi="仿宋_GB2312" w:eastAsia="仿宋_GB2312" w:cs="仿宋_GB2312"/>
          <w:sz w:val="32"/>
          <w:szCs w:val="32"/>
        </w:rPr>
        <w:t>研究</w:t>
      </w:r>
      <w:r>
        <w:rPr>
          <w:rFonts w:hint="eastAsia" w:ascii="仿宋_GB2312" w:hAnsi="仿宋_GB2312" w:eastAsia="仿宋_GB2312" w:cs="仿宋_GB2312"/>
          <w:sz w:val="32"/>
          <w:szCs w:val="32"/>
        </w:rPr>
        <w:t>湖北数字化改革路径，推动湖北经济社会流程再造、制度重构、整体优化，提升市场活力、政府效率、社会合力。</w:t>
      </w:r>
    </w:p>
    <w:p>
      <w:pPr>
        <w:spacing w:line="600" w:lineRule="exact"/>
        <w:ind w:firstLine="640"/>
        <w:rPr>
          <w:rFonts w:hint="eastAsia" w:ascii="黑体" w:hAnsi="黑体" w:eastAsia="黑体"/>
          <w:sz w:val="32"/>
          <w:szCs w:val="32"/>
        </w:rPr>
      </w:pPr>
      <w:r>
        <w:rPr>
          <w:rFonts w:hint="eastAsia" w:ascii="黑体" w:hAnsi="黑体" w:eastAsia="黑体"/>
          <w:sz w:val="32"/>
          <w:szCs w:val="32"/>
        </w:rPr>
        <w:t>12</w:t>
      </w:r>
      <w:r>
        <w:rPr>
          <w:rFonts w:hint="eastAsia" w:ascii="仿宋_GB2312" w:hAnsi="仿宋_GB2312" w:eastAsia="仿宋_GB2312" w:cs="仿宋_GB2312"/>
          <w:sz w:val="32"/>
          <w:szCs w:val="32"/>
        </w:rPr>
        <w:t>.</w:t>
      </w:r>
      <w:r>
        <w:rPr>
          <w:rFonts w:hint="eastAsia" w:ascii="黑体" w:hAnsi="黑体" w:eastAsia="黑体"/>
          <w:sz w:val="32"/>
          <w:szCs w:val="32"/>
        </w:rPr>
        <w:t>湖北产业投融资模式路径研究</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聚焦把产业投融资作为金融创新的重要工具，吸收借鉴国内外在运用投融资工具方面的经验做法，提出切合湖北实际的产业投融资创新模式及其运用办法，助力解决当前湖北产业发展瓶颈问题。</w:t>
      </w:r>
    </w:p>
    <w:p>
      <w:pPr>
        <w:spacing w:line="600" w:lineRule="exact"/>
        <w:ind w:firstLine="640"/>
        <w:rPr>
          <w:rFonts w:hint="eastAsia" w:ascii="仿宋_GB2312" w:hAnsi="仿宋_GB2312" w:eastAsia="仿宋_GB2312" w:cs="仿宋_GB2312"/>
          <w:sz w:val="32"/>
          <w:szCs w:val="32"/>
        </w:rPr>
      </w:pPr>
      <w:r>
        <w:rPr>
          <w:rFonts w:hint="eastAsia" w:ascii="黑体" w:hAnsi="黑体" w:eastAsia="黑体"/>
          <w:sz w:val="32"/>
          <w:szCs w:val="32"/>
        </w:rPr>
        <w:t>13</w:t>
      </w:r>
      <w:r>
        <w:rPr>
          <w:rFonts w:hint="eastAsia" w:ascii="仿宋_GB2312" w:hAnsi="仿宋_GB2312" w:eastAsia="仿宋_GB2312" w:cs="仿宋_GB2312"/>
          <w:sz w:val="32"/>
          <w:szCs w:val="32"/>
        </w:rPr>
        <w:t>.</w:t>
      </w:r>
      <w:r>
        <w:rPr>
          <w:rFonts w:hint="eastAsia" w:ascii="黑体" w:hAnsi="黑体" w:eastAsia="黑体"/>
          <w:sz w:val="32"/>
          <w:szCs w:val="32"/>
        </w:rPr>
        <w:t>湖北从“经济通道”向“通道经济”转型研究</w:t>
      </w:r>
      <w:r>
        <w:rPr>
          <w:rFonts w:hint="eastAsia" w:ascii="仿宋_GB2312" w:hAnsi="仿宋_GB2312" w:eastAsia="仿宋_GB2312" w:cs="仿宋_GB2312"/>
          <w:sz w:val="32"/>
          <w:szCs w:val="32"/>
        </w:rPr>
        <w:t xml:space="preserve">    </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w:t>
      </w:r>
      <w:r>
        <w:rPr>
          <w:rFonts w:ascii="仿宋_GB2312" w:hAnsi="仿宋_GB2312" w:eastAsia="仿宋_GB2312" w:cs="仿宋_GB2312"/>
          <w:sz w:val="32"/>
          <w:szCs w:val="32"/>
        </w:rPr>
        <w:t>如何发挥</w:t>
      </w:r>
      <w:r>
        <w:rPr>
          <w:rFonts w:hint="eastAsia" w:ascii="仿宋_GB2312" w:hAnsi="仿宋_GB2312" w:eastAsia="仿宋_GB2312" w:cs="仿宋_GB2312"/>
          <w:sz w:val="32"/>
          <w:szCs w:val="32"/>
        </w:rPr>
        <w:t>湖北九省通衢的</w:t>
      </w:r>
      <w:r>
        <w:rPr>
          <w:rFonts w:ascii="仿宋_GB2312" w:hAnsi="仿宋_GB2312" w:eastAsia="仿宋_GB2312" w:cs="仿宋_GB2312"/>
          <w:sz w:val="32"/>
          <w:szCs w:val="32"/>
        </w:rPr>
        <w:t>交通区位</w:t>
      </w:r>
      <w:r>
        <w:rPr>
          <w:rFonts w:hint="eastAsia" w:ascii="仿宋_GB2312" w:hAnsi="仿宋_GB2312" w:eastAsia="仿宋_GB2312" w:cs="仿宋_GB2312"/>
          <w:sz w:val="32"/>
          <w:szCs w:val="32"/>
        </w:rPr>
        <w:t>优势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以及通信、物流、人流、信息流等枢纽优势，借鉴国内外因港、因路兴业兴城的成功经验，提出推动湖北从“经济通道”向“通道经济”转型的对策建议，更好将通道优势转化为开放优势、发展优势。</w:t>
      </w:r>
    </w:p>
    <w:p>
      <w:pPr>
        <w:spacing w:line="600" w:lineRule="exact"/>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sz w:val="32"/>
          <w:szCs w:val="32"/>
        </w:rPr>
        <w:t>14</w:t>
      </w:r>
      <w:r>
        <w:rPr>
          <w:rFonts w:hint="eastAsia" w:ascii="仿宋_GB2312" w:hAnsi="仿宋_GB2312" w:eastAsia="仿宋_GB2312" w:cs="仿宋_GB2312"/>
          <w:sz w:val="32"/>
          <w:szCs w:val="32"/>
        </w:rPr>
        <w:t>.</w:t>
      </w:r>
      <w:r>
        <w:rPr>
          <w:rFonts w:hint="eastAsia" w:ascii="黑体" w:hAnsi="黑体" w:eastAsia="黑体"/>
          <w:sz w:val="32"/>
          <w:szCs w:val="32"/>
        </w:rPr>
        <w:t>湖北外贸高质量发展路径研究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围绕</w:t>
      </w:r>
      <w:r>
        <w:rPr>
          <w:rFonts w:ascii="仿宋_GB2312" w:hAnsi="仿宋_GB2312" w:eastAsia="仿宋_GB2312" w:cs="仿宋_GB2312"/>
          <w:sz w:val="32"/>
          <w:szCs w:val="32"/>
        </w:rPr>
        <w:t>建设全国构建新发展格局先行区的目标，</w:t>
      </w:r>
      <w:r>
        <w:rPr>
          <w:rFonts w:hint="eastAsia" w:ascii="仿宋_GB2312" w:hAnsi="仿宋_GB2312" w:eastAsia="仿宋_GB2312" w:cs="仿宋_GB2312"/>
          <w:sz w:val="32"/>
          <w:szCs w:val="32"/>
        </w:rPr>
        <w:t>结合外贸发展新</w:t>
      </w:r>
      <w:r>
        <w:rPr>
          <w:rFonts w:ascii="仿宋_GB2312" w:hAnsi="仿宋_GB2312" w:eastAsia="仿宋_GB2312" w:cs="仿宋_GB2312"/>
          <w:sz w:val="32"/>
          <w:szCs w:val="32"/>
        </w:rPr>
        <w:t>形势</w:t>
      </w:r>
      <w:r>
        <w:rPr>
          <w:rFonts w:hint="eastAsia" w:ascii="仿宋_GB2312" w:hAnsi="仿宋_GB2312" w:eastAsia="仿宋_GB2312" w:cs="仿宋_GB2312"/>
          <w:sz w:val="32"/>
          <w:szCs w:val="32"/>
        </w:rPr>
        <w:t>，研究推进湖北外贸高质量发展的新</w:t>
      </w:r>
      <w:r>
        <w:rPr>
          <w:rFonts w:ascii="仿宋_GB2312" w:hAnsi="仿宋_GB2312" w:eastAsia="仿宋_GB2312" w:cs="仿宋_GB2312"/>
          <w:sz w:val="32"/>
          <w:szCs w:val="32"/>
        </w:rPr>
        <w:t>路径、</w:t>
      </w:r>
      <w:r>
        <w:rPr>
          <w:rFonts w:hint="eastAsia" w:ascii="仿宋_GB2312" w:hAnsi="仿宋_GB2312" w:eastAsia="仿宋_GB2312" w:cs="仿宋_GB2312"/>
          <w:sz w:val="32"/>
          <w:szCs w:val="32"/>
        </w:rPr>
        <w:t>新业态、新模式，提出湖北</w:t>
      </w:r>
      <w:r>
        <w:rPr>
          <w:rFonts w:ascii="仿宋_GB2312" w:hAnsi="仿宋_GB2312" w:eastAsia="仿宋_GB2312" w:cs="仿宋_GB2312"/>
          <w:sz w:val="32"/>
          <w:szCs w:val="32"/>
        </w:rPr>
        <w:t>外贸扩</w:t>
      </w:r>
      <w:r>
        <w:rPr>
          <w:rFonts w:hint="eastAsia" w:ascii="仿宋_GB2312" w:hAnsi="仿宋_GB2312" w:eastAsia="仿宋_GB2312" w:cs="仿宋_GB2312"/>
          <w:sz w:val="32"/>
          <w:szCs w:val="32"/>
        </w:rPr>
        <w:t>规模、优结构、提</w:t>
      </w:r>
      <w:r>
        <w:rPr>
          <w:rFonts w:ascii="仿宋_GB2312" w:hAnsi="仿宋_GB2312" w:eastAsia="仿宋_GB2312" w:cs="仿宋_GB2312"/>
          <w:sz w:val="32"/>
          <w:szCs w:val="32"/>
        </w:rPr>
        <w:t>质量的对策建议。</w:t>
      </w:r>
    </w:p>
    <w:p>
      <w:pPr>
        <w:pStyle w:val="2"/>
        <w:ind w:firstLine="0" w:firstLineChars="0"/>
        <w:rPr>
          <w:rFonts w:hint="eastAsia" w:ascii="楷体_GB2312" w:hAnsi="楷体_GB2312" w:eastAsia="楷体_GB2312" w:cs="楷体_GB2312"/>
          <w:sz w:val="32"/>
          <w:szCs w:val="32"/>
        </w:rPr>
      </w:pPr>
      <w:r>
        <w:rPr>
          <w:rFonts w:hint="eastAsia" w:ascii="仿宋_GB2312" w:hAnsi="仿宋_GB2312" w:cs="仿宋_GB2312"/>
          <w:sz w:val="32"/>
          <w:szCs w:val="32"/>
        </w:rPr>
        <w:t xml:space="preserve">   </w:t>
      </w:r>
      <w:r>
        <w:rPr>
          <w:rFonts w:hint="eastAsia" w:ascii="黑体" w:hAnsi="黑体" w:eastAsia="黑体" w:cs="黑体"/>
          <w:sz w:val="32"/>
          <w:szCs w:val="32"/>
        </w:rPr>
        <w:t xml:space="preserve"> 15</w:t>
      </w:r>
      <w:r>
        <w:rPr>
          <w:rFonts w:hint="eastAsia" w:ascii="仿宋_GB2312" w:hAnsi="仿宋_GB2312" w:cs="仿宋_GB2312"/>
          <w:sz w:val="32"/>
          <w:szCs w:val="32"/>
        </w:rPr>
        <w:t>.</w:t>
      </w:r>
      <w:r>
        <w:rPr>
          <w:rFonts w:hint="eastAsia" w:ascii="黑体" w:hAnsi="黑体" w:eastAsia="黑体" w:cs="黑体"/>
          <w:sz w:val="32"/>
          <w:szCs w:val="32"/>
        </w:rPr>
        <w:t>数字经济应用场景培育及政府引导作用研究</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着眼拓展应用场景对数字经济的重大支撑作用，梳理湖北数字经济应用场景开发的重点领域和方向，分析借鉴国内外数字经济应用场景典型案例，提出湖北数字经济应用场景培育中提高政府引导效能的对策建议。</w:t>
      </w:r>
    </w:p>
    <w:p>
      <w:pPr>
        <w:spacing w:line="600" w:lineRule="exact"/>
        <w:ind w:firstLine="640"/>
        <w:rPr>
          <w:rFonts w:hint="eastAsia" w:ascii="仿宋_GB2312" w:hAnsi="仿宋_GB2312" w:eastAsia="仿宋_GB2312" w:cs="仿宋_GB2312"/>
          <w:sz w:val="32"/>
          <w:szCs w:val="32"/>
        </w:rPr>
      </w:pPr>
      <w:r>
        <w:rPr>
          <w:rFonts w:hint="eastAsia" w:ascii="黑体" w:hAnsi="黑体" w:eastAsia="黑体"/>
          <w:sz w:val="32"/>
          <w:szCs w:val="32"/>
        </w:rPr>
        <w:t>16</w:t>
      </w:r>
      <w:r>
        <w:rPr>
          <w:rFonts w:hint="eastAsia" w:ascii="仿宋_GB2312" w:hAnsi="仿宋_GB2312" w:eastAsia="仿宋_GB2312" w:cs="仿宋_GB2312"/>
          <w:sz w:val="32"/>
          <w:szCs w:val="32"/>
        </w:rPr>
        <w:t>.</w:t>
      </w:r>
      <w:r>
        <w:rPr>
          <w:rFonts w:hint="eastAsia" w:ascii="黑体" w:hAnsi="黑体" w:eastAsia="黑体"/>
          <w:sz w:val="32"/>
          <w:szCs w:val="32"/>
        </w:rPr>
        <w:t>湖北培育制造业头部企业群体研究</w:t>
      </w:r>
      <w:r>
        <w:rPr>
          <w:rFonts w:hint="eastAsia" w:ascii="仿宋_GB2312" w:hAnsi="仿宋_GB2312" w:eastAsia="仿宋_GB2312" w:cs="仿宋_GB2312"/>
          <w:sz w:val="32"/>
          <w:szCs w:val="32"/>
        </w:rPr>
        <w:t xml:space="preserve">    </w:t>
      </w:r>
    </w:p>
    <w:p>
      <w:pPr>
        <w:spacing w:line="600" w:lineRule="exact"/>
        <w:ind w:firstLine="640"/>
        <w:rPr>
          <w:rFonts w:hint="eastAsia" w:ascii="仿宋_GB2312" w:hAnsi="仿宋_GB2312" w:eastAsia="仿宋_GB2312" w:cs="仿宋_GB2312"/>
          <w:sz w:val="32"/>
          <w:szCs w:val="32"/>
        </w:rPr>
      </w:pPr>
      <w:r>
        <w:rPr>
          <w:rFonts w:ascii="仿宋_GB2312" w:hAnsi="仿宋_GB2312" w:eastAsia="仿宋_GB2312" w:cs="仿宋_GB2312"/>
          <w:sz w:val="32"/>
          <w:szCs w:val="32"/>
        </w:rPr>
        <w:t>从综合比较</w:t>
      </w:r>
      <w:r>
        <w:rPr>
          <w:rFonts w:hint="eastAsia" w:ascii="仿宋_GB2312" w:hAnsi="仿宋_GB2312" w:eastAsia="仿宋_GB2312" w:cs="仿宋_GB2312"/>
          <w:sz w:val="32"/>
          <w:szCs w:val="32"/>
        </w:rPr>
        <w:t>优势出发</w:t>
      </w:r>
      <w:r>
        <w:rPr>
          <w:rFonts w:ascii="仿宋_GB2312" w:hAnsi="仿宋_GB2312" w:eastAsia="仿宋_GB2312" w:cs="仿宋_GB2312"/>
          <w:sz w:val="32"/>
          <w:szCs w:val="32"/>
        </w:rPr>
        <w:t>，提出湖北引进国内外制造业头部企业的方向和策略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基于</w:t>
      </w:r>
      <w:r>
        <w:rPr>
          <w:rFonts w:hint="eastAsia" w:ascii="仿宋_GB2312" w:hAnsi="仿宋_GB2312" w:eastAsia="仿宋_GB2312" w:cs="仿宋_GB2312"/>
          <w:sz w:val="32"/>
          <w:szCs w:val="32"/>
        </w:rPr>
        <w:t>省内</w:t>
      </w:r>
      <w:r>
        <w:rPr>
          <w:rFonts w:ascii="仿宋_GB2312" w:hAnsi="仿宋_GB2312" w:eastAsia="仿宋_GB2312" w:cs="仿宋_GB2312"/>
          <w:sz w:val="32"/>
          <w:szCs w:val="32"/>
        </w:rPr>
        <w:t>制造业企业实际，提出需要</w:t>
      </w:r>
      <w:r>
        <w:rPr>
          <w:rFonts w:hint="eastAsia" w:ascii="仿宋_GB2312" w:hAnsi="仿宋_GB2312" w:eastAsia="仿宋_GB2312" w:cs="仿宋_GB2312"/>
          <w:sz w:val="32"/>
          <w:szCs w:val="32"/>
        </w:rPr>
        <w:t>重点</w:t>
      </w:r>
      <w:r>
        <w:rPr>
          <w:rFonts w:ascii="仿宋_GB2312" w:hAnsi="仿宋_GB2312" w:eastAsia="仿宋_GB2312" w:cs="仿宋_GB2312"/>
          <w:sz w:val="32"/>
          <w:szCs w:val="32"/>
        </w:rPr>
        <w:t>培育的头部企业群体</w:t>
      </w:r>
      <w:r>
        <w:rPr>
          <w:rFonts w:hint="eastAsia" w:ascii="仿宋_GB2312" w:hAnsi="仿宋_GB2312" w:eastAsia="仿宋_GB2312" w:cs="仿宋_GB2312"/>
          <w:sz w:val="32"/>
          <w:szCs w:val="32"/>
        </w:rPr>
        <w:t>；从国内外头部企业成长规律提出湖北</w:t>
      </w:r>
      <w:r>
        <w:rPr>
          <w:rFonts w:ascii="仿宋_GB2312" w:hAnsi="仿宋_GB2312" w:eastAsia="仿宋_GB2312" w:cs="仿宋_GB2312"/>
          <w:sz w:val="32"/>
          <w:szCs w:val="32"/>
        </w:rPr>
        <w:t>培育制造业头部企业群体的对策建议</w:t>
      </w:r>
      <w:r>
        <w:rPr>
          <w:rFonts w:hint="eastAsia" w:ascii="仿宋_GB2312" w:hAnsi="仿宋_GB2312" w:eastAsia="仿宋_GB2312" w:cs="仿宋_GB2312"/>
          <w:sz w:val="32"/>
          <w:szCs w:val="32"/>
        </w:rPr>
        <w:t>。</w:t>
      </w:r>
    </w:p>
    <w:p>
      <w:pPr>
        <w:spacing w:line="600" w:lineRule="exact"/>
        <w:ind w:firstLine="640"/>
        <w:rPr>
          <w:rFonts w:hint="eastAsia" w:ascii="仿宋_GB2312" w:hAnsi="仿宋_GB2312" w:eastAsia="仿宋_GB2312" w:cs="仿宋_GB2312"/>
          <w:sz w:val="32"/>
          <w:szCs w:val="32"/>
        </w:rPr>
      </w:pPr>
      <w:r>
        <w:rPr>
          <w:rFonts w:hint="eastAsia" w:ascii="黑体" w:hAnsi="黑体" w:eastAsia="黑体"/>
          <w:sz w:val="32"/>
          <w:szCs w:val="32"/>
        </w:rPr>
        <w:t>17</w:t>
      </w:r>
      <w:r>
        <w:rPr>
          <w:rFonts w:hint="eastAsia" w:ascii="仿宋_GB2312" w:hAnsi="仿宋_GB2312" w:eastAsia="仿宋_GB2312" w:cs="仿宋_GB2312"/>
          <w:sz w:val="32"/>
          <w:szCs w:val="32"/>
        </w:rPr>
        <w:t>.</w:t>
      </w:r>
      <w:r>
        <w:rPr>
          <w:rFonts w:hint="eastAsia" w:ascii="黑体" w:hAnsi="黑体" w:eastAsia="黑体"/>
          <w:sz w:val="32"/>
          <w:szCs w:val="32"/>
        </w:rPr>
        <w:t>湖北加快基础设施资产证券化研究</w:t>
      </w:r>
      <w:r>
        <w:rPr>
          <w:rFonts w:hint="eastAsia" w:ascii="仿宋_GB2312" w:hAnsi="仿宋_GB2312" w:eastAsia="仿宋_GB2312" w:cs="仿宋_GB2312"/>
          <w:sz w:val="32"/>
          <w:szCs w:val="32"/>
        </w:rPr>
        <w:t xml:space="preserve">    </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研究提出湖北加快基础设施资产证券化融资的有效方式，如何在防范</w:t>
      </w:r>
      <w:r>
        <w:rPr>
          <w:rFonts w:ascii="仿宋_GB2312" w:hAnsi="仿宋_GB2312" w:eastAsia="仿宋_GB2312" w:cs="仿宋_GB2312"/>
          <w:sz w:val="32"/>
          <w:szCs w:val="32"/>
        </w:rPr>
        <w:t>风险的前提下</w:t>
      </w:r>
      <w:r>
        <w:rPr>
          <w:rFonts w:hint="eastAsia" w:ascii="仿宋_GB2312" w:hAnsi="仿宋_GB2312" w:eastAsia="仿宋_GB2312" w:cs="仿宋_GB2312"/>
          <w:sz w:val="32"/>
          <w:szCs w:val="32"/>
        </w:rPr>
        <w:t>，按照市场化原则引导社会资本积极参与基础设施建设。</w:t>
      </w:r>
    </w:p>
    <w:p>
      <w:pPr>
        <w:spacing w:line="600" w:lineRule="exact"/>
        <w:ind w:firstLine="640"/>
        <w:rPr>
          <w:rFonts w:hint="eastAsia" w:ascii="仿宋_GB2312" w:hAnsi="仿宋_GB2312" w:eastAsia="仿宋_GB2312" w:cs="仿宋_GB2312"/>
          <w:sz w:val="32"/>
          <w:szCs w:val="32"/>
        </w:rPr>
      </w:pPr>
      <w:r>
        <w:rPr>
          <w:rFonts w:hint="eastAsia" w:ascii="黑体" w:hAnsi="黑体" w:eastAsia="黑体"/>
          <w:sz w:val="32"/>
          <w:szCs w:val="32"/>
        </w:rPr>
        <w:t>18</w:t>
      </w:r>
      <w:r>
        <w:rPr>
          <w:rFonts w:hint="eastAsia" w:ascii="仿宋_GB2312" w:hAnsi="仿宋_GB2312" w:eastAsia="仿宋_GB2312" w:cs="仿宋_GB2312"/>
          <w:sz w:val="32"/>
          <w:szCs w:val="32"/>
        </w:rPr>
        <w:t>.</w:t>
      </w:r>
      <w:r>
        <w:rPr>
          <w:rFonts w:hint="eastAsia" w:ascii="黑体" w:hAnsi="黑体" w:eastAsia="黑体"/>
          <w:sz w:val="32"/>
          <w:szCs w:val="32"/>
        </w:rPr>
        <w:t>湖北水环境治理产业发展研究</w:t>
      </w:r>
      <w:r>
        <w:rPr>
          <w:rFonts w:hint="eastAsia" w:ascii="仿宋_GB2312" w:hAnsi="仿宋_GB2312" w:eastAsia="仿宋_GB2312" w:cs="仿宋_GB2312"/>
          <w:sz w:val="32"/>
          <w:szCs w:val="32"/>
        </w:rPr>
        <w:t xml:space="preserve">    </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紧密结合湖北流域综合治理和统筹发展规划，研究</w:t>
      </w:r>
      <w:r>
        <w:rPr>
          <w:rFonts w:ascii="仿宋_GB2312" w:hAnsi="仿宋_GB2312" w:eastAsia="仿宋_GB2312" w:cs="仿宋_GB2312"/>
          <w:sz w:val="32"/>
          <w:szCs w:val="32"/>
        </w:rPr>
        <w:t>全省水环境治理产业</w:t>
      </w:r>
      <w:r>
        <w:rPr>
          <w:rFonts w:hint="eastAsia" w:ascii="仿宋_GB2312" w:hAnsi="仿宋_GB2312" w:eastAsia="仿宋_GB2312" w:cs="仿宋_GB2312"/>
          <w:sz w:val="32"/>
          <w:szCs w:val="32"/>
        </w:rPr>
        <w:t>潜力和</w:t>
      </w:r>
      <w:r>
        <w:rPr>
          <w:rFonts w:ascii="仿宋_GB2312" w:hAnsi="仿宋_GB2312" w:eastAsia="仿宋_GB2312" w:cs="仿宋_GB2312"/>
          <w:sz w:val="32"/>
          <w:szCs w:val="32"/>
        </w:rPr>
        <w:t>前景</w:t>
      </w:r>
      <w:r>
        <w:rPr>
          <w:rFonts w:hint="eastAsia" w:ascii="仿宋_GB2312" w:hAnsi="仿宋_GB2312" w:eastAsia="仿宋_GB2312" w:cs="仿宋_GB2312"/>
          <w:sz w:val="32"/>
          <w:szCs w:val="32"/>
        </w:rPr>
        <w:t>，找准发展水环境治理产业的路径、抓手，推动提升湖北水环境治理产业的市场化水平。</w:t>
      </w:r>
    </w:p>
    <w:p>
      <w:pPr>
        <w:spacing w:line="600" w:lineRule="exact"/>
        <w:ind w:firstLine="640"/>
        <w:rPr>
          <w:rFonts w:hint="eastAsia" w:ascii="仿宋_GB2312" w:hAnsi="仿宋_GB2312" w:eastAsia="仿宋_GB2312" w:cs="仿宋_GB2312"/>
          <w:sz w:val="32"/>
          <w:szCs w:val="32"/>
        </w:rPr>
      </w:pPr>
      <w:r>
        <w:rPr>
          <w:rFonts w:hint="eastAsia" w:ascii="黑体" w:hAnsi="黑体" w:eastAsia="黑体"/>
          <w:sz w:val="32"/>
          <w:szCs w:val="32"/>
        </w:rPr>
        <w:t>19</w:t>
      </w:r>
      <w:r>
        <w:rPr>
          <w:rFonts w:hint="eastAsia" w:ascii="仿宋_GB2312" w:hAnsi="仿宋_GB2312" w:eastAsia="仿宋_GB2312" w:cs="仿宋_GB2312"/>
          <w:sz w:val="32"/>
          <w:szCs w:val="32"/>
        </w:rPr>
        <w:t>.</w:t>
      </w:r>
      <w:r>
        <w:rPr>
          <w:rFonts w:hint="eastAsia" w:ascii="黑体" w:hAnsi="黑体" w:eastAsia="黑体"/>
          <w:sz w:val="32"/>
          <w:szCs w:val="32"/>
        </w:rPr>
        <w:t>湖北激发民营经济创新活力研究</w:t>
      </w:r>
      <w:r>
        <w:rPr>
          <w:rFonts w:hint="eastAsia" w:ascii="仿宋_GB2312" w:hAnsi="仿宋_GB2312" w:eastAsia="仿宋_GB2312" w:cs="仿宋_GB2312"/>
          <w:sz w:val="32"/>
          <w:szCs w:val="32"/>
        </w:rPr>
        <w:t xml:space="preserve">    </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从破解制约湖北民营经济创新活力的</w:t>
      </w:r>
      <w:r>
        <w:rPr>
          <w:rFonts w:ascii="仿宋_GB2312" w:hAnsi="仿宋_GB2312" w:eastAsia="仿宋_GB2312" w:cs="仿宋_GB2312"/>
          <w:sz w:val="32"/>
          <w:szCs w:val="32"/>
        </w:rPr>
        <w:t>突出</w:t>
      </w:r>
      <w:r>
        <w:rPr>
          <w:rFonts w:hint="eastAsia" w:ascii="仿宋_GB2312" w:hAnsi="仿宋_GB2312" w:eastAsia="仿宋_GB2312" w:cs="仿宋_GB2312"/>
          <w:sz w:val="32"/>
          <w:szCs w:val="32"/>
        </w:rPr>
        <w:t>问题、调动民营企业创新积极性、构建民营企业创新生态、开展企业协同创新等方面进行研究，提出激发湖北民营经济创新活力的对策措施。</w:t>
      </w:r>
    </w:p>
    <w:p>
      <w:pPr>
        <w:spacing w:line="300" w:lineRule="exact"/>
        <w:rPr>
          <w:rFonts w:hint="eastAsia" w:ascii="仿宋_GB2312" w:hAnsi="仿宋_GB2312" w:eastAsia="仿宋_GB2312" w:cs="仿宋_GB2312"/>
          <w:sz w:val="32"/>
          <w:szCs w:val="32"/>
          <w:u w:val="single"/>
        </w:rPr>
      </w:pPr>
    </w:p>
    <w:p/>
    <w:sectPr>
      <w:footerReference r:id="rId3" w:type="default"/>
      <w:pgSz w:w="11906" w:h="16838"/>
      <w:pgMar w:top="1440" w:right="1463" w:bottom="1440"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kN2JhMzgwNWUxZDJhODg0YjU4MWYzODgzMTIyYmUifQ=="/>
  </w:docVars>
  <w:rsids>
    <w:rsidRoot w:val="632700CD"/>
    <w:rsid w:val="6327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adjustRightInd w:val="0"/>
      <w:snapToGrid w:val="0"/>
      <w:spacing w:line="640" w:lineRule="exact"/>
      <w:ind w:firstLine="420" w:firstLineChars="200"/>
      <w:jc w:val="both"/>
    </w:pPr>
    <w:rPr>
      <w:rFonts w:ascii="Times New Roman" w:hAnsi="Times New Roman" w:eastAsia="仿宋_GB2312" w:cs="Times New Roman"/>
      <w:kern w:val="2"/>
      <w:sz w:val="36"/>
      <w:szCs w:val="24"/>
      <w:lang w:val="en-US" w:eastAsia="zh-CN" w:bidi="ar-SA"/>
    </w:rPr>
  </w:style>
  <w:style w:type="paragraph" w:styleId="3">
    <w:name w:val="footer"/>
    <w:basedOn w:val="1"/>
    <w:unhideWhenUsed/>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2023-06-12T02:21:00Z</dcterms:created>
  <dc:creator>Administrator</dc:creator>
  <cp:lastModifiedBy>Administrator</cp:lastModifiedBy>
  <dcterms:modified xsi:type="dcterms:W3CDTF">2023-06-12T02:21:45Z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DA70302B322B45E481186EF790FBF2D4_11</vt:lpwstr>
  </property>
</Properties>
</file>